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3587" w14:textId="77777777" w:rsidR="00086267" w:rsidRPr="00FC2002" w:rsidRDefault="00086267" w:rsidP="00086267">
      <w:pPr>
        <w:pStyle w:val="Heading1"/>
      </w:pPr>
      <w:r w:rsidRPr="00FC2002">
        <w:t>How to Effectively Use Your Federal NIH Grant Award</w:t>
      </w:r>
    </w:p>
    <w:p w14:paraId="1E7A5A9B" w14:textId="5647E411" w:rsidR="00086267" w:rsidRPr="00FC2002" w:rsidRDefault="00FC2002" w:rsidP="00086267">
      <w:pPr>
        <w:pStyle w:val="NormalWeb"/>
        <w:spacing w:before="0" w:beforeAutospacing="0" w:after="0" w:afterAutospacing="0"/>
        <w:rPr>
          <w:color w:val="0E101A"/>
        </w:rPr>
      </w:pPr>
      <w:r>
        <w:rPr>
          <w:color w:val="0E101A"/>
        </w:rPr>
        <w:t>When you are awarded a</w:t>
      </w:r>
      <w:r w:rsidR="00086267" w:rsidRPr="00FC2002">
        <w:rPr>
          <w:color w:val="0E101A"/>
        </w:rPr>
        <w:t xml:space="preserve"> federal NIH grant, it's essential to know how to use the grant award effectively. The post-award phase may seem overwhelming with various implementation and reporting requirements, but adhering to the grant terms and conditions is necessary. This blog post will guide you toward maximizing the use of your grant award by understanding the post-award phase.</w:t>
      </w:r>
    </w:p>
    <w:p w14:paraId="56F2A8A0" w14:textId="77777777" w:rsidR="00086267" w:rsidRPr="00FC2002" w:rsidRDefault="00086267" w:rsidP="00086267">
      <w:pPr>
        <w:pStyle w:val="NormalWeb"/>
        <w:spacing w:before="0" w:beforeAutospacing="0" w:after="0" w:afterAutospacing="0"/>
        <w:rPr>
          <w:color w:val="0E101A"/>
        </w:rPr>
      </w:pPr>
    </w:p>
    <w:p w14:paraId="363BE46F" w14:textId="77777777" w:rsidR="00086267" w:rsidRPr="007728D0" w:rsidRDefault="00086267" w:rsidP="007728D0">
      <w:pPr>
        <w:pStyle w:val="Heading2"/>
      </w:pPr>
      <w:r w:rsidRPr="007728D0">
        <w:t>Follow Best Accounting practices</w:t>
      </w:r>
    </w:p>
    <w:p w14:paraId="32B735CA" w14:textId="77777777" w:rsidR="00086267" w:rsidRPr="00FC2002" w:rsidRDefault="00086267" w:rsidP="00086267">
      <w:pPr>
        <w:pStyle w:val="NormalWeb"/>
        <w:spacing w:before="0" w:beforeAutospacing="0" w:after="0" w:afterAutospacing="0"/>
        <w:rPr>
          <w:color w:val="0E101A"/>
        </w:rPr>
      </w:pPr>
      <w:r w:rsidRPr="00FC2002">
        <w:rPr>
          <w:color w:val="0E101A"/>
        </w:rPr>
        <w:t>Once you have reached the post-award phase, adhering to fund accounting best practices is essential. Tracking and managing expenses in compliance with grant guidelines ensures the effectiveness and transparency of the project, which is crucial for future grant applications. It would be best to allocate direct and indirect expenses based on the approved budget. However, tracking program expenses and activities according to grant requirements may require significant time and effort.</w:t>
      </w:r>
    </w:p>
    <w:p w14:paraId="39975A74" w14:textId="77777777" w:rsidR="00086267" w:rsidRPr="00FC2002" w:rsidRDefault="00086267" w:rsidP="00086267">
      <w:pPr>
        <w:pStyle w:val="NormalWeb"/>
        <w:spacing w:before="0" w:beforeAutospacing="0" w:after="0" w:afterAutospacing="0"/>
        <w:rPr>
          <w:color w:val="0E101A"/>
        </w:rPr>
      </w:pPr>
    </w:p>
    <w:p w14:paraId="7E75E655" w14:textId="77777777" w:rsidR="00086267" w:rsidRPr="00FC2002" w:rsidRDefault="00086267" w:rsidP="00086267">
      <w:pPr>
        <w:pStyle w:val="NormalWeb"/>
        <w:spacing w:before="0" w:beforeAutospacing="0" w:after="0" w:afterAutospacing="0"/>
        <w:rPr>
          <w:color w:val="0E101A"/>
        </w:rPr>
      </w:pPr>
    </w:p>
    <w:p w14:paraId="0C12550D" w14:textId="21D0CAA3" w:rsidR="00086267" w:rsidRPr="00FC2002" w:rsidRDefault="00086267" w:rsidP="007728D0">
      <w:pPr>
        <w:pStyle w:val="Heading2"/>
      </w:pPr>
      <w:r w:rsidRPr="00FC2002">
        <w:t>Understand The Reporting requirements</w:t>
      </w:r>
    </w:p>
    <w:p w14:paraId="3655851A" w14:textId="45C8211C" w:rsidR="00086267" w:rsidRPr="00FC2002" w:rsidRDefault="00086267" w:rsidP="00086267">
      <w:pPr>
        <w:pStyle w:val="NormalWeb"/>
        <w:spacing w:before="0" w:beforeAutospacing="0" w:after="0" w:afterAutospacing="0"/>
        <w:rPr>
          <w:color w:val="0E101A"/>
        </w:rPr>
      </w:pPr>
      <w:r w:rsidRPr="00FC2002">
        <w:rPr>
          <w:color w:val="0E101A"/>
        </w:rPr>
        <w:t xml:space="preserve">NIH </w:t>
      </w:r>
      <w:r w:rsidR="00FC2002">
        <w:rPr>
          <w:color w:val="0E101A"/>
        </w:rPr>
        <w:t xml:space="preserve">requires </w:t>
      </w:r>
      <w:r w:rsidRPr="00FC2002">
        <w:rPr>
          <w:color w:val="0E101A"/>
        </w:rPr>
        <w:t xml:space="preserve">recipients to submit progress </w:t>
      </w:r>
      <w:r w:rsidR="00FC2002">
        <w:rPr>
          <w:color w:val="0E101A"/>
        </w:rPr>
        <w:t xml:space="preserve">and financial </w:t>
      </w:r>
      <w:r w:rsidRPr="00FC2002">
        <w:rPr>
          <w:color w:val="0E101A"/>
        </w:rPr>
        <w:t>reports</w:t>
      </w:r>
      <w:r w:rsidR="00FC2002">
        <w:rPr>
          <w:color w:val="0E101A"/>
        </w:rPr>
        <w:t xml:space="preserve"> periodically. Progress reports </w:t>
      </w:r>
      <w:r w:rsidR="00D7585E">
        <w:rPr>
          <w:color w:val="0E101A"/>
        </w:rPr>
        <w:t>should be</w:t>
      </w:r>
      <w:r w:rsidR="00FC2002">
        <w:rPr>
          <w:color w:val="0E101A"/>
        </w:rPr>
        <w:t xml:space="preserve"> submitted via </w:t>
      </w:r>
      <w:r w:rsidRPr="00FC2002">
        <w:rPr>
          <w:color w:val="0E101A"/>
        </w:rPr>
        <w:t xml:space="preserve">the </w:t>
      </w:r>
      <w:hyperlink r:id="rId5" w:tgtFrame="_blank" w:history="1">
        <w:r w:rsidRPr="00FC2002">
          <w:rPr>
            <w:rStyle w:val="Hyperlink"/>
            <w:rFonts w:ascii="Times New Roman" w:hAnsi="Times New Roman"/>
            <w:sz w:val="24"/>
          </w:rPr>
          <w:t>Research </w:t>
        </w:r>
        <w:r w:rsidRPr="00FC2002">
          <w:rPr>
            <w:rStyle w:val="Hyperlink"/>
          </w:rPr>
          <w:t>Performance Progress Report (RPPR)</w:t>
        </w:r>
        <w:r w:rsidR="00D7585E">
          <w:rPr>
            <w:rStyle w:val="Hyperlink"/>
          </w:rPr>
          <w:t xml:space="preserve"> module</w:t>
        </w:r>
        <w:r w:rsidR="00FC2002" w:rsidRPr="00FC2002">
          <w:rPr>
            <w:rStyle w:val="Hyperlink"/>
            <w:rFonts w:ascii="Times New Roman" w:hAnsi="Times New Roman"/>
            <w:sz w:val="24"/>
          </w:rPr>
          <w:t>.</w:t>
        </w:r>
      </w:hyperlink>
      <w:r w:rsidRPr="00FC2002">
        <w:rPr>
          <w:color w:val="0E101A"/>
        </w:rPr>
        <w:t xml:space="preserve"> There are three types of RPPRs: annual, interim, and final. It is important to adhere to the deadlines specified by NIH for these reports.</w:t>
      </w:r>
    </w:p>
    <w:p w14:paraId="09E004D3" w14:textId="77777777" w:rsidR="00086267" w:rsidRPr="00FC2002" w:rsidRDefault="00086267" w:rsidP="00086267">
      <w:pPr>
        <w:pStyle w:val="NormalWeb"/>
        <w:spacing w:before="0" w:beforeAutospacing="0" w:after="0" w:afterAutospacing="0"/>
        <w:rPr>
          <w:color w:val="0E101A"/>
        </w:rPr>
      </w:pPr>
    </w:p>
    <w:p w14:paraId="7225C5FA" w14:textId="77777777" w:rsidR="00086267" w:rsidRPr="00FC2002" w:rsidRDefault="00086267" w:rsidP="00086267">
      <w:pPr>
        <w:pStyle w:val="NormalWeb"/>
        <w:spacing w:before="0" w:beforeAutospacing="0" w:after="0" w:afterAutospacing="0"/>
        <w:rPr>
          <w:color w:val="0E101A"/>
        </w:rPr>
      </w:pPr>
      <w:r w:rsidRPr="00FC2002">
        <w:rPr>
          <w:color w:val="0E101A"/>
        </w:rPr>
        <w:t>These reports can be submitted through the </w:t>
      </w:r>
      <w:hyperlink r:id="rId6" w:tgtFrame="_blank" w:history="1">
        <w:r w:rsidRPr="00FC2002">
          <w:rPr>
            <w:rStyle w:val="Hyperlink"/>
            <w:color w:val="4A6EE0"/>
          </w:rPr>
          <w:t>eRA Commons</w:t>
        </w:r>
      </w:hyperlink>
      <w:r w:rsidRPr="00FC2002">
        <w:rPr>
          <w:color w:val="0E101A"/>
        </w:rPr>
        <w:t>. They should encompass achievements pertaining to annual goals, upcoming project plans, documentation of manuscripts and publications produced by project contributors, modifications to the project's key personnel, current or projected project hurdles or delays, strategies for overcoming these challenges, noteworthy alterations concerning human or animal subject involvement, enrollment reports for clinical studies, and other relevant information.</w:t>
      </w:r>
    </w:p>
    <w:p w14:paraId="2E28F1EC" w14:textId="77777777" w:rsidR="00086267" w:rsidRPr="00FC2002" w:rsidRDefault="00086267" w:rsidP="00086267">
      <w:pPr>
        <w:pStyle w:val="NormalWeb"/>
        <w:spacing w:before="0" w:beforeAutospacing="0" w:after="0" w:afterAutospacing="0"/>
        <w:rPr>
          <w:color w:val="0E101A"/>
        </w:rPr>
      </w:pPr>
    </w:p>
    <w:p w14:paraId="73D5A600" w14:textId="77777777" w:rsidR="00086267" w:rsidRPr="00FC2002" w:rsidRDefault="00086267" w:rsidP="007728D0">
      <w:pPr>
        <w:pStyle w:val="Heading2"/>
      </w:pPr>
      <w:r w:rsidRPr="00FC2002">
        <w:t>Adhere to NIH policies and regulations:</w:t>
      </w:r>
    </w:p>
    <w:p w14:paraId="664E41D6" w14:textId="77777777" w:rsidR="00086267" w:rsidRPr="00FC2002" w:rsidRDefault="00086267" w:rsidP="00086267">
      <w:pPr>
        <w:pStyle w:val="NormalWeb"/>
        <w:spacing w:before="0" w:beforeAutospacing="0" w:after="0" w:afterAutospacing="0"/>
        <w:rPr>
          <w:color w:val="0E101A"/>
        </w:rPr>
      </w:pPr>
      <w:r w:rsidRPr="00FC2002">
        <w:rPr>
          <w:color w:val="0E101A"/>
        </w:rPr>
        <w:t>NIH has various </w:t>
      </w:r>
      <w:hyperlink r:id="rId7" w:tgtFrame="_blank" w:history="1">
        <w:r w:rsidRPr="00FC2002">
          <w:rPr>
            <w:rStyle w:val="Hyperlink"/>
            <w:color w:val="4A6EE0"/>
          </w:rPr>
          <w:t>policies and regulations</w:t>
        </w:r>
      </w:hyperlink>
      <w:r w:rsidRPr="00FC2002">
        <w:rPr>
          <w:color w:val="0E101A"/>
        </w:rPr>
        <w:t> that govern the use of grants. These policies safeguard the credibility of research outcomes and maintain transparency, accountability, and adherence to ethical standards. Ensure that your research project aligns with NIH policies and regulations. </w:t>
      </w:r>
      <w:hyperlink r:id="rId8" w:tgtFrame="_blank" w:history="1">
        <w:r w:rsidRPr="00FC2002">
          <w:rPr>
            <w:rStyle w:val="Hyperlink"/>
            <w:color w:val="4A6EE0"/>
          </w:rPr>
          <w:t>Review updates</w:t>
        </w:r>
      </w:hyperlink>
      <w:r w:rsidRPr="00FC2002">
        <w:rPr>
          <w:color w:val="0E101A"/>
        </w:rPr>
        <w:t> on NIH policies, guidelines, and any changes concerning grant management continually.</w:t>
      </w:r>
    </w:p>
    <w:p w14:paraId="6340A80D" w14:textId="77777777" w:rsidR="00086267" w:rsidRPr="00FC2002" w:rsidRDefault="00086267" w:rsidP="00086267">
      <w:pPr>
        <w:pStyle w:val="NormalWeb"/>
        <w:spacing w:before="0" w:beforeAutospacing="0" w:after="0" w:afterAutospacing="0"/>
        <w:rPr>
          <w:color w:val="0E101A"/>
        </w:rPr>
      </w:pPr>
    </w:p>
    <w:p w14:paraId="427BD77C" w14:textId="77777777" w:rsidR="00086267" w:rsidRPr="00FC2002" w:rsidRDefault="00086267" w:rsidP="007728D0">
      <w:pPr>
        <w:pStyle w:val="Heading2"/>
      </w:pPr>
      <w:r w:rsidRPr="00FC2002">
        <w:t>Hire The Right Staff</w:t>
      </w:r>
    </w:p>
    <w:p w14:paraId="167397A7" w14:textId="08DF557F" w:rsidR="00086267" w:rsidRPr="00FC2002" w:rsidRDefault="00086267" w:rsidP="00086267">
      <w:pPr>
        <w:pStyle w:val="NormalWeb"/>
        <w:spacing w:before="0" w:beforeAutospacing="0" w:after="0" w:afterAutospacing="0"/>
        <w:rPr>
          <w:color w:val="0E101A"/>
        </w:rPr>
      </w:pPr>
      <w:r w:rsidRPr="00FC2002">
        <w:rPr>
          <w:color w:val="0E101A"/>
        </w:rPr>
        <w:t xml:space="preserve">Apart from managing finances and adhering to reporting guidelines and NIH policies, having the right staff </w:t>
      </w:r>
      <w:r w:rsidR="00FC2002" w:rsidRPr="00FC2002">
        <w:rPr>
          <w:color w:val="0E101A"/>
        </w:rPr>
        <w:t>w</w:t>
      </w:r>
      <w:r w:rsidRPr="00FC2002">
        <w:rPr>
          <w:color w:val="0E101A"/>
        </w:rPr>
        <w:t>ith the appropriate skills and expertise</w:t>
      </w:r>
      <w:r w:rsidR="00FC2002" w:rsidRPr="00FC2002">
        <w:rPr>
          <w:color w:val="0E101A"/>
        </w:rPr>
        <w:t xml:space="preserve"> is also important.</w:t>
      </w:r>
      <w:r w:rsidRPr="00FC2002">
        <w:rPr>
          <w:color w:val="0E101A"/>
        </w:rPr>
        <w:t xml:space="preserve"> </w:t>
      </w:r>
      <w:r w:rsidR="00FC2002" w:rsidRPr="00FC2002">
        <w:rPr>
          <w:color w:val="0E101A"/>
        </w:rPr>
        <w:t>I</w:t>
      </w:r>
      <w:r w:rsidRPr="00FC2002">
        <w:rPr>
          <w:color w:val="0E101A"/>
        </w:rPr>
        <w:t>dentif</w:t>
      </w:r>
      <w:r w:rsidR="00FC2002" w:rsidRPr="00FC2002">
        <w:rPr>
          <w:color w:val="0E101A"/>
        </w:rPr>
        <w:t>y</w:t>
      </w:r>
      <w:r w:rsidRPr="00FC2002">
        <w:rPr>
          <w:color w:val="0E101A"/>
        </w:rPr>
        <w:t xml:space="preserve"> workforce utilization plans and ensur</w:t>
      </w:r>
      <w:r w:rsidR="00FC2002" w:rsidRPr="00FC2002">
        <w:rPr>
          <w:color w:val="0E101A"/>
        </w:rPr>
        <w:t>e</w:t>
      </w:r>
      <w:r w:rsidRPr="00FC2002">
        <w:rPr>
          <w:color w:val="0E101A"/>
        </w:rPr>
        <w:t xml:space="preserve"> that your staff's workload aligns with grant objectives</w:t>
      </w:r>
      <w:r w:rsidR="00FC2002" w:rsidRPr="00FC2002">
        <w:rPr>
          <w:color w:val="0E101A"/>
        </w:rPr>
        <w:t>. Many b</w:t>
      </w:r>
      <w:r w:rsidRPr="00FC2002">
        <w:rPr>
          <w:color w:val="0E101A"/>
        </w:rPr>
        <w:t xml:space="preserve">usinesses have natural ebbs and flows, and finding the right balance may be challenging. </w:t>
      </w:r>
      <w:r w:rsidRPr="00FC2002">
        <w:rPr>
          <w:color w:val="0E101A"/>
        </w:rPr>
        <w:lastRenderedPageBreak/>
        <w:t xml:space="preserve">Temporary staffing is </w:t>
      </w:r>
      <w:r w:rsidR="00FC2002" w:rsidRPr="00FC2002">
        <w:rPr>
          <w:color w:val="0E101A"/>
        </w:rPr>
        <w:t xml:space="preserve">an </w:t>
      </w:r>
      <w:r w:rsidRPr="00FC2002">
        <w:rPr>
          <w:color w:val="0E101A"/>
        </w:rPr>
        <w:t>option for supplementing your staff during peak periods, such as research cycles or clinical trials, where additional resources may be necessary.</w:t>
      </w:r>
      <w:r w:rsidR="000E4384">
        <w:rPr>
          <w:color w:val="0E101A"/>
        </w:rPr>
        <w:t xml:space="preserve"> </w:t>
      </w:r>
      <w:r w:rsidRPr="00FC2002">
        <w:rPr>
          <w:color w:val="0E101A"/>
        </w:rPr>
        <w:t xml:space="preserve">A staffing agency that provides scientific and technical candidates for federal </w:t>
      </w:r>
      <w:r w:rsidR="00FC2002" w:rsidRPr="00FC2002">
        <w:rPr>
          <w:color w:val="0E101A"/>
        </w:rPr>
        <w:t xml:space="preserve">agencies </w:t>
      </w:r>
      <w:r w:rsidRPr="00FC2002">
        <w:rPr>
          <w:color w:val="0E101A"/>
        </w:rPr>
        <w:t xml:space="preserve">can be a valuable resource when you need to hire </w:t>
      </w:r>
      <w:r w:rsidR="00FC2002" w:rsidRPr="00FC2002">
        <w:rPr>
          <w:color w:val="0E101A"/>
        </w:rPr>
        <w:t>quickly. Firms</w:t>
      </w:r>
      <w:r w:rsidRPr="00FC2002">
        <w:rPr>
          <w:color w:val="0E101A"/>
        </w:rPr>
        <w:t xml:space="preserve"> experienced in screening, interviewing, and managing contractor relationships can save your organization time and money.</w:t>
      </w:r>
    </w:p>
    <w:p w14:paraId="6B8DAFAA" w14:textId="77777777" w:rsidR="00086267" w:rsidRPr="00FC2002" w:rsidRDefault="00086267" w:rsidP="00086267">
      <w:pPr>
        <w:pStyle w:val="NormalWeb"/>
        <w:spacing w:before="0" w:beforeAutospacing="0" w:after="0" w:afterAutospacing="0"/>
        <w:rPr>
          <w:color w:val="0E101A"/>
        </w:rPr>
      </w:pPr>
    </w:p>
    <w:p w14:paraId="35991055" w14:textId="77777777" w:rsidR="00086267" w:rsidRPr="00FC2002" w:rsidRDefault="00086267" w:rsidP="007728D0">
      <w:pPr>
        <w:pStyle w:val="Heading2"/>
      </w:pPr>
      <w:r w:rsidRPr="00FC2002">
        <w:t>Closing Out Grant</w:t>
      </w:r>
    </w:p>
    <w:p w14:paraId="4C146538" w14:textId="5F139486" w:rsidR="00086267" w:rsidRPr="00FC2002" w:rsidRDefault="00086267" w:rsidP="00086267">
      <w:pPr>
        <w:pStyle w:val="NormalWeb"/>
        <w:spacing w:before="0" w:beforeAutospacing="0" w:after="0" w:afterAutospacing="0"/>
        <w:rPr>
          <w:color w:val="0E101A"/>
        </w:rPr>
      </w:pPr>
      <w:r w:rsidRPr="00FC2002">
        <w:rPr>
          <w:color w:val="0E101A"/>
        </w:rPr>
        <w:t xml:space="preserve">When the grant period comes to an end, and if a subsequent competing segment is not funded, or if the grant is transferred from one institution to another, the NIH requires the submission of a </w:t>
      </w:r>
      <w:hyperlink r:id="rId9" w:history="1">
        <w:r w:rsidRPr="00D7585E">
          <w:rPr>
            <w:rStyle w:val="Hyperlink"/>
            <w:rFonts w:ascii="Times New Roman" w:hAnsi="Times New Roman"/>
            <w:sz w:val="24"/>
          </w:rPr>
          <w:t>Final Invention Statement and Certification (HHS 568)</w:t>
        </w:r>
      </w:hyperlink>
      <w:r w:rsidRPr="00FC2002">
        <w:rPr>
          <w:color w:val="0E101A"/>
        </w:rPr>
        <w:t xml:space="preserve"> within 120 days. In cases where the grant is ending, the Final Invention Statement and Certification, along with other closeout documents, can be submitted directly to the relevant NIH institute or center.</w:t>
      </w:r>
    </w:p>
    <w:p w14:paraId="457BF51A" w14:textId="77777777" w:rsidR="00086267" w:rsidRPr="00FC2002" w:rsidRDefault="00086267" w:rsidP="00086267">
      <w:pPr>
        <w:pStyle w:val="NormalWeb"/>
        <w:spacing w:before="0" w:beforeAutospacing="0" w:after="0" w:afterAutospacing="0"/>
        <w:rPr>
          <w:color w:val="0E101A"/>
        </w:rPr>
      </w:pPr>
    </w:p>
    <w:p w14:paraId="3F76C588" w14:textId="77777777" w:rsidR="00086267" w:rsidRPr="00FC2002" w:rsidRDefault="00086267" w:rsidP="007728D0">
      <w:pPr>
        <w:pStyle w:val="Heading1"/>
      </w:pPr>
      <w:r w:rsidRPr="00FC2002">
        <w:t>Conclusion:</w:t>
      </w:r>
    </w:p>
    <w:p w14:paraId="4A84B923" w14:textId="77777777" w:rsidR="00086267" w:rsidRPr="00FC2002" w:rsidRDefault="00086267" w:rsidP="00086267">
      <w:pPr>
        <w:pStyle w:val="NormalWeb"/>
        <w:spacing w:before="0" w:beforeAutospacing="0" w:after="0" w:afterAutospacing="0"/>
        <w:rPr>
          <w:color w:val="0E101A"/>
        </w:rPr>
      </w:pPr>
      <w:r w:rsidRPr="00FC2002">
        <w:rPr>
          <w:color w:val="0E101A"/>
        </w:rPr>
        <w:t>Effectively using a federal NIH Grant Award requires diligent efforts, understanding, and adherence to the post-award phase. Understanding the grant award budget, reporting requirements, adhering to NIH policies and regulations, working with your grant officer, and planning for the closeout phase are critical steps to ensure the optimal utilization of the grant award. By following these steps, grant awardees can maximize the positive impact of the project, advance research fields, and maintain transparency and accountability.</w:t>
      </w:r>
    </w:p>
    <w:p w14:paraId="60BF5F89" w14:textId="77777777" w:rsidR="00086267" w:rsidRPr="00FC2002" w:rsidRDefault="00086267" w:rsidP="00086267">
      <w:pPr>
        <w:pStyle w:val="NormalWeb"/>
        <w:spacing w:before="0" w:beforeAutospacing="0" w:after="0" w:afterAutospacing="0"/>
        <w:rPr>
          <w:color w:val="0E101A"/>
        </w:rPr>
      </w:pPr>
    </w:p>
    <w:p w14:paraId="28C0F339" w14:textId="77777777" w:rsidR="00086267" w:rsidRPr="00FC2002" w:rsidRDefault="00086267" w:rsidP="00086267">
      <w:pPr>
        <w:pStyle w:val="NormalWeb"/>
        <w:spacing w:before="0" w:beforeAutospacing="0" w:after="0" w:afterAutospacing="0"/>
        <w:rPr>
          <w:color w:val="0E101A"/>
        </w:rPr>
      </w:pPr>
      <w:r w:rsidRPr="00FC2002">
        <w:rPr>
          <w:rStyle w:val="Emphasis"/>
          <w:color w:val="0E101A"/>
        </w:rPr>
        <w:t>Disclaimer:</w:t>
      </w:r>
    </w:p>
    <w:p w14:paraId="0D3F8D21" w14:textId="77777777" w:rsidR="00086267" w:rsidRPr="00FC2002" w:rsidRDefault="00086267" w:rsidP="00086267">
      <w:pPr>
        <w:pStyle w:val="NormalWeb"/>
        <w:spacing w:before="0" w:beforeAutospacing="0" w:after="0" w:afterAutospacing="0"/>
        <w:rPr>
          <w:color w:val="0E101A"/>
        </w:rPr>
      </w:pPr>
      <w:r w:rsidRPr="00FC2002">
        <w:rPr>
          <w:rStyle w:val="Emphasis"/>
          <w:color w:val="0E101A"/>
        </w:rPr>
        <w:t>The purpose of this information is solely to provide general knowledge and should not be construed as legal advice. Consult with your legal counsel to ensure your specific workplace drug testing policies comply with the most current laws and regulations.</w:t>
      </w:r>
    </w:p>
    <w:p w14:paraId="5A15E009" w14:textId="77777777" w:rsidR="00086267" w:rsidRPr="00FC2002" w:rsidRDefault="00086267" w:rsidP="00086267">
      <w:pPr>
        <w:pStyle w:val="NormalWeb"/>
        <w:spacing w:before="0" w:beforeAutospacing="0" w:after="0" w:afterAutospacing="0"/>
        <w:rPr>
          <w:color w:val="0E101A"/>
        </w:rPr>
      </w:pPr>
    </w:p>
    <w:p w14:paraId="1440AA31" w14:textId="77777777" w:rsidR="00086267" w:rsidRPr="00FC2002" w:rsidRDefault="00086267" w:rsidP="00FC2002">
      <w:pPr>
        <w:pStyle w:val="Heading1"/>
      </w:pPr>
      <w:r w:rsidRPr="00FC2002">
        <w:rPr>
          <w:rStyle w:val="Strong"/>
          <w:b/>
          <w:bCs/>
        </w:rPr>
        <w:t>About Astrix</w:t>
      </w:r>
    </w:p>
    <w:p w14:paraId="0FCDC304" w14:textId="01C3233E" w:rsidR="00086267" w:rsidRPr="00FC2002" w:rsidRDefault="0073741E" w:rsidP="00086267">
      <w:pPr>
        <w:pStyle w:val="NormalWeb"/>
        <w:spacing w:before="0" w:beforeAutospacing="0" w:after="0" w:afterAutospacing="0"/>
        <w:rPr>
          <w:color w:val="0E101A"/>
        </w:rPr>
      </w:pPr>
      <w:hyperlink r:id="rId10" w:history="1">
        <w:r w:rsidR="00086267" w:rsidRPr="008B7816">
          <w:rPr>
            <w:rStyle w:val="Hyperlink"/>
            <w:rFonts w:ascii="Times New Roman" w:hAnsi="Times New Roman"/>
            <w:sz w:val="24"/>
          </w:rPr>
          <w:t>Astrix</w:t>
        </w:r>
      </w:hyperlink>
      <w:r w:rsidR="00086267" w:rsidRPr="00FC2002">
        <w:rPr>
          <w:color w:val="0E101A"/>
        </w:rPr>
        <w:t xml:space="preserve"> has been providing services to branches of the federal government, along with various municipal and state governments, in the United States for over two decades.</w:t>
      </w:r>
    </w:p>
    <w:p w14:paraId="63BF202E" w14:textId="77777777" w:rsidR="00086267" w:rsidRPr="00FC2002" w:rsidRDefault="00086267" w:rsidP="00086267">
      <w:pPr>
        <w:pStyle w:val="NormalWeb"/>
        <w:spacing w:before="0" w:beforeAutospacing="0" w:after="0" w:afterAutospacing="0"/>
        <w:rPr>
          <w:color w:val="0E101A"/>
        </w:rPr>
      </w:pPr>
      <w:r w:rsidRPr="00FC2002">
        <w:rPr>
          <w:color w:val="0E101A"/>
        </w:rPr>
        <w:t>We are a company of scientists with technical training, specific expertise, and hands-on experience in life science environments. We utilize our Strategic Consulting, Application and platform Services, and Scientific &amp; IT Staffing teams to consistently provide high-value staffing and scientific and technical solutions to analytical laboratory programs within United States governmental agencies.</w:t>
      </w:r>
    </w:p>
    <w:p w14:paraId="7AAFCF75" w14:textId="77777777" w:rsidR="00FC2002" w:rsidRPr="00FC2002" w:rsidRDefault="00FC2002" w:rsidP="00086267">
      <w:pPr>
        <w:pStyle w:val="NormalWeb"/>
        <w:spacing w:before="0" w:beforeAutospacing="0" w:after="0" w:afterAutospacing="0"/>
        <w:rPr>
          <w:color w:val="0E101A"/>
        </w:rPr>
      </w:pPr>
    </w:p>
    <w:p w14:paraId="3642799A" w14:textId="77777777" w:rsidR="00086267" w:rsidRPr="00FC2002" w:rsidRDefault="0073741E" w:rsidP="00086267">
      <w:pPr>
        <w:pStyle w:val="NormalWeb"/>
        <w:spacing w:before="0" w:beforeAutospacing="0" w:after="0" w:afterAutospacing="0"/>
        <w:rPr>
          <w:color w:val="0E101A"/>
        </w:rPr>
      </w:pPr>
      <w:hyperlink r:id="rId11" w:tgtFrame="_blank" w:history="1">
        <w:r w:rsidR="00086267" w:rsidRPr="00FC2002">
          <w:rPr>
            <w:rStyle w:val="Hyperlink"/>
            <w:color w:val="4A6EE0"/>
          </w:rPr>
          <w:t>Contact us</w:t>
        </w:r>
      </w:hyperlink>
      <w:r w:rsidR="00086267" w:rsidRPr="00FC2002">
        <w:rPr>
          <w:color w:val="0E101A"/>
        </w:rPr>
        <w:t> to learn more about how we can support your organization.</w:t>
      </w:r>
    </w:p>
    <w:p w14:paraId="2C34242C" w14:textId="6902468D" w:rsidR="000E2807" w:rsidRPr="00086267" w:rsidRDefault="000E2807" w:rsidP="00086267"/>
    <w:sectPr w:rsidR="000E2807" w:rsidRPr="00086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IBM Plex Mono">
    <w:charset w:val="00"/>
    <w:family w:val="modern"/>
    <w:pitch w:val="fixed"/>
    <w:sig w:usb0="A000026F" w:usb1="5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0619"/>
    <w:multiLevelType w:val="hybridMultilevel"/>
    <w:tmpl w:val="344A5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6023B5"/>
    <w:multiLevelType w:val="hybridMultilevel"/>
    <w:tmpl w:val="615C72E0"/>
    <w:lvl w:ilvl="0" w:tplc="9E9C55A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2E77EF"/>
    <w:multiLevelType w:val="hybridMultilevel"/>
    <w:tmpl w:val="1B12F422"/>
    <w:lvl w:ilvl="0" w:tplc="6E260F52">
      <w:numFmt w:val="bullet"/>
      <w:lvlText w:val="-"/>
      <w:lvlJc w:val="left"/>
      <w:pPr>
        <w:ind w:left="720" w:hanging="360"/>
      </w:pPr>
      <w:rPr>
        <w:rFonts w:ascii="Microsoft Sans Serif" w:eastAsiaTheme="minorEastAsia"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400720"/>
    <w:multiLevelType w:val="hybridMultilevel"/>
    <w:tmpl w:val="1748AAF8"/>
    <w:lvl w:ilvl="0" w:tplc="5E22BC20">
      <w:start w:val="1"/>
      <w:numFmt w:val="decimal"/>
      <w:pStyle w:val="Heading2"/>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314609">
    <w:abstractNumId w:val="2"/>
  </w:num>
  <w:num w:numId="2" w16cid:durableId="1827699707">
    <w:abstractNumId w:val="0"/>
  </w:num>
  <w:num w:numId="3" w16cid:durableId="150758615">
    <w:abstractNumId w:val="1"/>
  </w:num>
  <w:num w:numId="4" w16cid:durableId="831066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65"/>
    <w:rsid w:val="00086267"/>
    <w:rsid w:val="000E2807"/>
    <w:rsid w:val="000E4384"/>
    <w:rsid w:val="001B571F"/>
    <w:rsid w:val="00310A8E"/>
    <w:rsid w:val="003B7077"/>
    <w:rsid w:val="004F6DFB"/>
    <w:rsid w:val="005E70B3"/>
    <w:rsid w:val="0073741E"/>
    <w:rsid w:val="007728D0"/>
    <w:rsid w:val="00777B7E"/>
    <w:rsid w:val="007F7E01"/>
    <w:rsid w:val="00823963"/>
    <w:rsid w:val="00836765"/>
    <w:rsid w:val="008B7816"/>
    <w:rsid w:val="00A910AE"/>
    <w:rsid w:val="00AA5106"/>
    <w:rsid w:val="00AA7502"/>
    <w:rsid w:val="00D7585E"/>
    <w:rsid w:val="00FC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1146"/>
  <w15:chartTrackingRefBased/>
  <w15:docId w15:val="{2E394896-21EC-42CC-9952-AA936C73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0B3"/>
    <w:pPr>
      <w:spacing w:before="120" w:after="120" w:line="360" w:lineRule="auto"/>
    </w:pPr>
    <w:rPr>
      <w:rFonts w:ascii="Microsoft Sans Serif" w:eastAsiaTheme="minorEastAsia" w:hAnsi="Microsoft Sans Serif"/>
      <w:color w:val="000000" w:themeColor="text1" w:themeShade="BF"/>
      <w:kern w:val="0"/>
      <w:szCs w:val="24"/>
      <w:lang w:eastAsia="zh-CN"/>
      <w14:ligatures w14:val="none"/>
    </w:rPr>
  </w:style>
  <w:style w:type="paragraph" w:styleId="Heading1">
    <w:name w:val="heading 1"/>
    <w:basedOn w:val="Normal"/>
    <w:link w:val="Heading1Char"/>
    <w:uiPriority w:val="9"/>
    <w:qFormat/>
    <w:rsid w:val="00086267"/>
    <w:pPr>
      <w:spacing w:before="100" w:beforeAutospacing="1" w:after="100" w:afterAutospacing="1" w:line="240" w:lineRule="auto"/>
      <w:outlineLvl w:val="0"/>
    </w:pPr>
    <w:rPr>
      <w:rFonts w:ascii="IBM Plex Sans" w:eastAsia="Times New Roman" w:hAnsi="IBM Plex Sans" w:cs="Times New Roman"/>
      <w:b/>
      <w:bCs/>
      <w:color w:val="ED7D31" w:themeColor="accent2"/>
      <w:kern w:val="36"/>
      <w:sz w:val="36"/>
      <w:szCs w:val="48"/>
      <w:lang w:eastAsia="en-US"/>
    </w:rPr>
  </w:style>
  <w:style w:type="paragraph" w:styleId="Heading2">
    <w:name w:val="heading 2"/>
    <w:basedOn w:val="Normal"/>
    <w:next w:val="Normal"/>
    <w:link w:val="Heading2Char"/>
    <w:autoRedefine/>
    <w:uiPriority w:val="9"/>
    <w:unhideWhenUsed/>
    <w:qFormat/>
    <w:rsid w:val="007728D0"/>
    <w:pPr>
      <w:keepNext/>
      <w:keepLines/>
      <w:numPr>
        <w:numId w:val="4"/>
      </w:numPr>
      <w:spacing w:before="40" w:after="0"/>
      <w:outlineLvl w:val="1"/>
    </w:pPr>
    <w:rPr>
      <w:rFonts w:ascii="IBM Plex Mono" w:eastAsiaTheme="majorEastAsia" w:hAnsi="IBM Plex Mono" w:cstheme="majorBidi"/>
      <w:b/>
      <w:bCs/>
      <w:color w:val="ED7D31"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28D0"/>
    <w:rPr>
      <w:rFonts w:ascii="IBM Plex Mono" w:eastAsiaTheme="majorEastAsia" w:hAnsi="IBM Plex Mono" w:cstheme="majorBidi"/>
      <w:b/>
      <w:bCs/>
      <w:color w:val="ED7D31" w:themeColor="accent2"/>
      <w:kern w:val="0"/>
      <w:sz w:val="26"/>
      <w:szCs w:val="26"/>
      <w:lang w:eastAsia="zh-CN"/>
      <w14:ligatures w14:val="none"/>
    </w:rPr>
  </w:style>
  <w:style w:type="character" w:styleId="Hyperlink">
    <w:name w:val="Hyperlink"/>
    <w:basedOn w:val="DefaultParagraphFont"/>
    <w:uiPriority w:val="99"/>
    <w:unhideWhenUsed/>
    <w:rsid w:val="007F7E01"/>
    <w:rPr>
      <w:rFonts w:ascii="Century Gothic" w:hAnsi="Century Gothic"/>
      <w:b w:val="0"/>
      <w:color w:val="0563C1" w:themeColor="hyperlink"/>
      <w:sz w:val="22"/>
      <w:u w:val="single"/>
    </w:rPr>
  </w:style>
  <w:style w:type="paragraph" w:styleId="ListParagraph">
    <w:name w:val="List Paragraph"/>
    <w:basedOn w:val="Normal"/>
    <w:uiPriority w:val="34"/>
    <w:qFormat/>
    <w:rsid w:val="00836765"/>
    <w:pPr>
      <w:ind w:left="720"/>
      <w:contextualSpacing/>
    </w:pPr>
  </w:style>
  <w:style w:type="paragraph" w:styleId="NormalWeb">
    <w:name w:val="Normal (Web)"/>
    <w:basedOn w:val="Normal"/>
    <w:uiPriority w:val="99"/>
    <w:semiHidden/>
    <w:unhideWhenUsed/>
    <w:rsid w:val="003B7077"/>
    <w:pPr>
      <w:spacing w:before="100" w:beforeAutospacing="1" w:after="100" w:afterAutospacing="1" w:line="240" w:lineRule="auto"/>
    </w:pPr>
    <w:rPr>
      <w:rFonts w:ascii="Times New Roman" w:eastAsia="Times New Roman" w:hAnsi="Times New Roman" w:cs="Times New Roman"/>
      <w:color w:val="auto"/>
      <w:sz w:val="24"/>
      <w:lang w:eastAsia="en-US"/>
    </w:rPr>
  </w:style>
  <w:style w:type="character" w:styleId="UnresolvedMention">
    <w:name w:val="Unresolved Mention"/>
    <w:basedOn w:val="DefaultParagraphFont"/>
    <w:uiPriority w:val="99"/>
    <w:semiHidden/>
    <w:unhideWhenUsed/>
    <w:rsid w:val="00A910AE"/>
    <w:rPr>
      <w:color w:val="605E5C"/>
      <w:shd w:val="clear" w:color="auto" w:fill="E1DFDD"/>
    </w:rPr>
  </w:style>
  <w:style w:type="character" w:customStyle="1" w:styleId="Heading1Char">
    <w:name w:val="Heading 1 Char"/>
    <w:basedOn w:val="DefaultParagraphFont"/>
    <w:link w:val="Heading1"/>
    <w:uiPriority w:val="9"/>
    <w:rsid w:val="00086267"/>
    <w:rPr>
      <w:rFonts w:ascii="IBM Plex Sans" w:eastAsia="Times New Roman" w:hAnsi="IBM Plex Sans" w:cs="Times New Roman"/>
      <w:b/>
      <w:bCs/>
      <w:color w:val="ED7D31" w:themeColor="accent2"/>
      <w:kern w:val="36"/>
      <w:sz w:val="36"/>
      <w:szCs w:val="48"/>
      <w14:ligatures w14:val="none"/>
    </w:rPr>
  </w:style>
  <w:style w:type="character" w:styleId="Strong">
    <w:name w:val="Strong"/>
    <w:basedOn w:val="DefaultParagraphFont"/>
    <w:uiPriority w:val="22"/>
    <w:qFormat/>
    <w:rsid w:val="00086267"/>
    <w:rPr>
      <w:b/>
      <w:bCs/>
    </w:rPr>
  </w:style>
  <w:style w:type="character" w:styleId="Emphasis">
    <w:name w:val="Emphasis"/>
    <w:basedOn w:val="DefaultParagraphFont"/>
    <w:uiPriority w:val="20"/>
    <w:qFormat/>
    <w:rsid w:val="000862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9474">
      <w:bodyDiv w:val="1"/>
      <w:marLeft w:val="0"/>
      <w:marRight w:val="0"/>
      <w:marTop w:val="0"/>
      <w:marBottom w:val="0"/>
      <w:divBdr>
        <w:top w:val="none" w:sz="0" w:space="0" w:color="auto"/>
        <w:left w:val="none" w:sz="0" w:space="0" w:color="auto"/>
        <w:bottom w:val="none" w:sz="0" w:space="0" w:color="auto"/>
        <w:right w:val="none" w:sz="0" w:space="0" w:color="auto"/>
      </w:divBdr>
    </w:div>
    <w:div w:id="53916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policy/PolicyNotices.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rants.nih.gov/policy/index.ht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era.nih.gov/about-era/services-for-applicants-recipients/reporting-requirements" TargetMode="External"/><Relationship Id="rId11" Type="http://schemas.openxmlformats.org/officeDocument/2006/relationships/hyperlink" Target="https://astrixinc.com/government-services/" TargetMode="External"/><Relationship Id="rId5" Type="http://schemas.openxmlformats.org/officeDocument/2006/relationships/hyperlink" Target="https://grants.nih.gov/grants/rppr/index.htm" TargetMode="External"/><Relationship Id="rId15" Type="http://schemas.openxmlformats.org/officeDocument/2006/relationships/customXml" Target="../customXml/item2.xml"/><Relationship Id="rId10" Type="http://schemas.openxmlformats.org/officeDocument/2006/relationships/hyperlink" Target="https://astrixinc.com/scientific-technical-staffing/" TargetMode="External"/><Relationship Id="rId4" Type="http://schemas.openxmlformats.org/officeDocument/2006/relationships/webSettings" Target="webSettings.xml"/><Relationship Id="rId9" Type="http://schemas.openxmlformats.org/officeDocument/2006/relationships/hyperlink" Target="https://grants.nih.gov/grants/hhs568.pdf"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3C2073735ED43895C43B7014F40D3" ma:contentTypeVersion="14" ma:contentTypeDescription="Create a new document." ma:contentTypeScope="" ma:versionID="141101412d8128f624e17197f8c9bfbc">
  <xsd:schema xmlns:xsd="http://www.w3.org/2001/XMLSchema" xmlns:xs="http://www.w3.org/2001/XMLSchema" xmlns:p="http://schemas.microsoft.com/office/2006/metadata/properties" xmlns:ns2="b0bf339b-c50f-4f14-a044-2e0341d9e2db" xmlns:ns3="07acd787-42c7-4a96-b456-ebd1a564c5f1" targetNamespace="http://schemas.microsoft.com/office/2006/metadata/properties" ma:root="true" ma:fieldsID="6b9bdb99c4221082ac02a7f09a4ced57" ns2:_="" ns3:_="">
    <xsd:import namespace="b0bf339b-c50f-4f14-a044-2e0341d9e2db"/>
    <xsd:import namespace="07acd787-42c7-4a96-b456-ebd1a564c5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f339b-c50f-4f14-a044-2e0341d9e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9bd108-ead9-4cfa-8921-68d735d355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cd787-42c7-4a96-b456-ebd1a564c5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51322a1-22f4-4d8b-a74f-60fe0215caf6}" ma:internalName="TaxCatchAll" ma:showField="CatchAllData" ma:web="07acd787-42c7-4a96-b456-ebd1a564c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bf339b-c50f-4f14-a044-2e0341d9e2db">
      <Terms xmlns="http://schemas.microsoft.com/office/infopath/2007/PartnerControls"/>
    </lcf76f155ced4ddcb4097134ff3c332f>
    <TaxCatchAll xmlns="07acd787-42c7-4a96-b456-ebd1a564c5f1" xsi:nil="true"/>
  </documentManagement>
</p:properties>
</file>

<file path=customXml/itemProps1.xml><?xml version="1.0" encoding="utf-8"?>
<ds:datastoreItem xmlns:ds="http://schemas.openxmlformats.org/officeDocument/2006/customXml" ds:itemID="{106798EA-A506-4598-9C6F-9B2EA6C48E38}"/>
</file>

<file path=customXml/itemProps2.xml><?xml version="1.0" encoding="utf-8"?>
<ds:datastoreItem xmlns:ds="http://schemas.openxmlformats.org/officeDocument/2006/customXml" ds:itemID="{B2A05C20-AA38-4205-9A35-2F5265CD227C}"/>
</file>

<file path=customXml/itemProps3.xml><?xml version="1.0" encoding="utf-8"?>
<ds:datastoreItem xmlns:ds="http://schemas.openxmlformats.org/officeDocument/2006/customXml" ds:itemID="{24245039-47EB-4E74-886B-3D3FF0AA4448}"/>
</file>

<file path=docProps/app.xml><?xml version="1.0" encoding="utf-8"?>
<Properties xmlns="http://schemas.openxmlformats.org/officeDocument/2006/extended-properties" xmlns:vt="http://schemas.openxmlformats.org/officeDocument/2006/docPropsVTypes">
  <Template>Normal.dotm</Template>
  <TotalTime>2</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 Berg</dc:creator>
  <cp:keywords/>
  <dc:description/>
  <cp:lastModifiedBy>Renu Berg</cp:lastModifiedBy>
  <cp:revision>2</cp:revision>
  <dcterms:created xsi:type="dcterms:W3CDTF">2023-10-24T22:35:00Z</dcterms:created>
  <dcterms:modified xsi:type="dcterms:W3CDTF">2023-10-24T22:35:00Z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0x01010045A3C2073735ED43895C43B7014F40D3</vt:lpwstr>
  </property>
</Properties>
</file>